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AB" w:rsidRDefault="00C879AB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ОБРАЗОВАНИЯ ГОРОДСКОГО ОКРУГА</w:t>
      </w:r>
    </w:p>
    <w:p w:rsidR="00C879AB" w:rsidRDefault="00C879AB">
      <w:pPr>
        <w:pStyle w:val="ConsPlusTitle"/>
        <w:jc w:val="center"/>
      </w:pPr>
      <w:r>
        <w:t>"УХТА"</w:t>
      </w:r>
    </w:p>
    <w:p w:rsidR="00C879AB" w:rsidRDefault="00C879AB">
      <w:pPr>
        <w:pStyle w:val="ConsPlusTitle"/>
        <w:jc w:val="center"/>
      </w:pPr>
    </w:p>
    <w:p w:rsidR="00C879AB" w:rsidRDefault="00C879AB">
      <w:pPr>
        <w:pStyle w:val="ConsPlusTitle"/>
        <w:jc w:val="center"/>
      </w:pPr>
      <w:r>
        <w:t>РЕШЕНИЕ</w:t>
      </w:r>
    </w:p>
    <w:p w:rsidR="00C879AB" w:rsidRDefault="00C879AB">
      <w:pPr>
        <w:pStyle w:val="ConsPlusTitle"/>
        <w:jc w:val="center"/>
      </w:pPr>
      <w:r>
        <w:t>от 6 марта 2008 г. N 153</w:t>
      </w:r>
    </w:p>
    <w:p w:rsidR="00C879AB" w:rsidRDefault="00C879AB">
      <w:pPr>
        <w:pStyle w:val="ConsPlusTitle"/>
        <w:jc w:val="center"/>
      </w:pPr>
    </w:p>
    <w:p w:rsidR="00C879AB" w:rsidRDefault="00C879AB">
      <w:pPr>
        <w:pStyle w:val="ConsPlusTitle"/>
        <w:jc w:val="center"/>
      </w:pPr>
      <w:r>
        <w:t>ОБ УТВЕРЖДЕНИИ МЕТОДИКИ РАСЧЕТА АРЕНДНОЙ</w:t>
      </w:r>
    </w:p>
    <w:p w:rsidR="00C879AB" w:rsidRDefault="00C879AB">
      <w:pPr>
        <w:pStyle w:val="ConsPlusTitle"/>
        <w:jc w:val="center"/>
      </w:pPr>
      <w:r>
        <w:t>ПЛАТЫ ЗА МУНИЦИПАЛЬНОЕ ИМУЩЕСТВО МОГО "УХТА"</w:t>
      </w:r>
    </w:p>
    <w:p w:rsidR="00C879AB" w:rsidRDefault="00C8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14.05.2008 </w:t>
            </w:r>
            <w:hyperlink r:id="rId4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14.11.2008 </w:t>
            </w:r>
            <w:hyperlink r:id="rId5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15.07.2009 </w:t>
            </w:r>
            <w:hyperlink r:id="rId6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7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12.02.2010 </w:t>
            </w:r>
            <w:hyperlink r:id="rId8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23.03.2010 </w:t>
            </w:r>
            <w:hyperlink r:id="rId9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10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20.11.2014 </w:t>
            </w:r>
            <w:hyperlink r:id="rId1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28.01.2021 </w:t>
            </w:r>
            <w:hyperlink r:id="rId14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12.08.2021 </w:t>
            </w:r>
            <w:hyperlink r:id="rId1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РК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от 26.06.2009 N А29-3652/2009)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</w:tr>
    </w:tbl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50</w:t>
        </w:r>
      </w:hyperlink>
      <w:r>
        <w:t xml:space="preserve"> Устава муниципального образования городского округа "Ухта" Совет муниципального образования городского округа "Ухта" решил: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Методику</w:t>
        </w:r>
      </w:hyperlink>
      <w:r>
        <w:t xml:space="preserve"> расчета арендной платы за муниципальное имущество МОГО "Ухта" согласно приложению.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2. Решение вступает в силу с 1 апреля 2008 года.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jc w:val="right"/>
      </w:pPr>
      <w:r>
        <w:t>Председатель заседания</w:t>
      </w:r>
    </w:p>
    <w:p w:rsidR="00C879AB" w:rsidRDefault="00C879AB">
      <w:pPr>
        <w:pStyle w:val="ConsPlusNormal"/>
        <w:jc w:val="right"/>
      </w:pPr>
      <w:r>
        <w:t>А.МАКАРЕНКО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</w:pPr>
    </w:p>
    <w:p w:rsidR="00C879AB" w:rsidRDefault="00C879AB">
      <w:pPr>
        <w:pStyle w:val="ConsPlusNormal"/>
      </w:pPr>
    </w:p>
    <w:p w:rsidR="00C879AB" w:rsidRDefault="00C879AB">
      <w:pPr>
        <w:pStyle w:val="ConsPlusNormal"/>
      </w:pPr>
    </w:p>
    <w:p w:rsidR="00C879AB" w:rsidRDefault="00C879AB">
      <w:pPr>
        <w:pStyle w:val="ConsPlusNormal"/>
      </w:pPr>
    </w:p>
    <w:p w:rsidR="00C879AB" w:rsidRDefault="00C879AB">
      <w:pPr>
        <w:pStyle w:val="ConsPlusNormal"/>
        <w:jc w:val="right"/>
        <w:outlineLvl w:val="0"/>
      </w:pPr>
      <w:r>
        <w:t>Приложение</w:t>
      </w:r>
    </w:p>
    <w:p w:rsidR="00C879AB" w:rsidRDefault="00C879AB">
      <w:pPr>
        <w:pStyle w:val="ConsPlusNormal"/>
        <w:jc w:val="right"/>
      </w:pPr>
      <w:r>
        <w:t>к решению</w:t>
      </w:r>
    </w:p>
    <w:p w:rsidR="00C879AB" w:rsidRDefault="00C879AB">
      <w:pPr>
        <w:pStyle w:val="ConsPlusNormal"/>
        <w:jc w:val="right"/>
      </w:pPr>
      <w:r>
        <w:t>13-го заседания</w:t>
      </w:r>
    </w:p>
    <w:p w:rsidR="00C879AB" w:rsidRDefault="00C879AB">
      <w:pPr>
        <w:pStyle w:val="ConsPlusNormal"/>
        <w:jc w:val="right"/>
      </w:pPr>
      <w:r>
        <w:t>Совета МОГО "Ухта"</w:t>
      </w:r>
    </w:p>
    <w:p w:rsidR="00C879AB" w:rsidRDefault="00C879AB">
      <w:pPr>
        <w:pStyle w:val="ConsPlusNormal"/>
        <w:jc w:val="right"/>
      </w:pPr>
      <w:r>
        <w:t>от 6 марта 2008 г. N 153</w:t>
      </w:r>
    </w:p>
    <w:p w:rsidR="00C879AB" w:rsidRDefault="00C879AB">
      <w:pPr>
        <w:pStyle w:val="ConsPlusNormal"/>
      </w:pPr>
    </w:p>
    <w:p w:rsidR="00C879AB" w:rsidRDefault="00C879AB">
      <w:pPr>
        <w:pStyle w:val="ConsPlusTitle"/>
        <w:jc w:val="center"/>
      </w:pPr>
      <w:bookmarkStart w:id="1" w:name="P35"/>
      <w:bookmarkEnd w:id="1"/>
      <w:r>
        <w:t>МЕТОДИКА</w:t>
      </w:r>
    </w:p>
    <w:p w:rsidR="00C879AB" w:rsidRDefault="00C879AB">
      <w:pPr>
        <w:pStyle w:val="ConsPlusTitle"/>
        <w:jc w:val="center"/>
      </w:pPr>
      <w:r>
        <w:t>РАСЧЕТА АРЕНДНОЙ ПЛАТЫ ЗА МУНИЦИПАЛЬНОЕ ИМУЩЕСТВО</w:t>
      </w:r>
    </w:p>
    <w:p w:rsidR="00C879AB" w:rsidRDefault="00C879AB">
      <w:pPr>
        <w:pStyle w:val="ConsPlusTitle"/>
        <w:jc w:val="center"/>
      </w:pPr>
      <w:r>
        <w:t>МОГО "УХТА"</w:t>
      </w:r>
    </w:p>
    <w:p w:rsidR="00C879AB" w:rsidRDefault="00C879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9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14.05.2008 </w:t>
            </w:r>
            <w:hyperlink r:id="rId1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14.11.2008 </w:t>
            </w:r>
            <w:hyperlink r:id="rId19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15.07.2009 </w:t>
            </w:r>
            <w:hyperlink r:id="rId20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2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12.02.2010 </w:t>
            </w:r>
            <w:hyperlink r:id="rId22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23.03.2010 </w:t>
            </w:r>
            <w:hyperlink r:id="rId23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24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20.11.2014 </w:t>
            </w:r>
            <w:hyperlink r:id="rId25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18.06.2015 </w:t>
            </w:r>
            <w:hyperlink r:id="rId26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27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28.01.2021 </w:t>
            </w:r>
            <w:hyperlink r:id="rId2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12.08.2021 </w:t>
            </w:r>
            <w:hyperlink r:id="rId2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РК</w:t>
            </w:r>
          </w:p>
          <w:p w:rsidR="00C879AB" w:rsidRDefault="00C879AB">
            <w:pPr>
              <w:pStyle w:val="ConsPlusNormal"/>
              <w:jc w:val="center"/>
            </w:pPr>
            <w:r>
              <w:rPr>
                <w:color w:val="392C69"/>
              </w:rPr>
              <w:t>от 26.06.2009 N А29-3652/2009)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9AB" w:rsidRDefault="00C879AB">
            <w:pPr>
              <w:pStyle w:val="ConsPlusNormal"/>
            </w:pPr>
          </w:p>
        </w:tc>
      </w:tr>
    </w:tbl>
    <w:p w:rsidR="00C879AB" w:rsidRDefault="00C879AB">
      <w:pPr>
        <w:pStyle w:val="ConsPlusNormal"/>
      </w:pPr>
    </w:p>
    <w:p w:rsidR="00C879AB" w:rsidRDefault="00C879AB">
      <w:pPr>
        <w:pStyle w:val="ConsPlusTitle"/>
        <w:jc w:val="center"/>
        <w:outlineLvl w:val="1"/>
      </w:pPr>
      <w:bookmarkStart w:id="2" w:name="P47"/>
      <w:bookmarkEnd w:id="2"/>
      <w:r>
        <w:t>I. Методика расчета арендной платы за объекты</w:t>
      </w:r>
    </w:p>
    <w:p w:rsidR="00C879AB" w:rsidRDefault="00C879AB">
      <w:pPr>
        <w:pStyle w:val="ConsPlusTitle"/>
        <w:jc w:val="center"/>
      </w:pPr>
      <w:r>
        <w:t>муниципального недвижимого имущества</w:t>
      </w:r>
    </w:p>
    <w:p w:rsidR="00C879AB" w:rsidRDefault="00C879AB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МО городского округа "Ухта"</w:t>
      </w:r>
    </w:p>
    <w:p w:rsidR="00C879AB" w:rsidRDefault="00C879AB">
      <w:pPr>
        <w:pStyle w:val="ConsPlusNormal"/>
        <w:jc w:val="center"/>
      </w:pPr>
      <w:r>
        <w:t>от 12.08.2021 N 69)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Размер годовой арендной платы: </w:t>
      </w:r>
      <w:proofErr w:type="spellStart"/>
      <w:r>
        <w:t>Агод</w:t>
      </w:r>
      <w:proofErr w:type="spellEnd"/>
      <w:r>
        <w:t xml:space="preserve">. = С x S x Км x </w:t>
      </w:r>
      <w:proofErr w:type="spellStart"/>
      <w:r>
        <w:t>Кк</w:t>
      </w:r>
      <w:proofErr w:type="spellEnd"/>
      <w:r>
        <w:t xml:space="preserve"> x </w:t>
      </w:r>
      <w:proofErr w:type="spellStart"/>
      <w:r>
        <w:t>Кт</w:t>
      </w:r>
      <w:proofErr w:type="spellEnd"/>
      <w:r>
        <w:t xml:space="preserve"> x Кд, где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1.1. С - ставка арендной платы в размере 1 770 руб. за 1 </w:t>
      </w:r>
      <w:proofErr w:type="spellStart"/>
      <w:r>
        <w:t>кв.м</w:t>
      </w:r>
      <w:proofErr w:type="spellEnd"/>
      <w:r>
        <w:t xml:space="preserve"> в год общей площади сдаваемого в аренду объекта недвижимого имущества.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lastRenderedPageBreak/>
        <w:t>1.2. S - общая площадь сдаваемого в аренду объекта недвижимого имущества, определяемая по техническому паспорту объекта.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1.3. Км - коэффициент качества строительных материалов здания, сооружения: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- 0,5 - прочие,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- 0,8 - дерево,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- 1,0 - железобетон, кирпич, металл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 xml:space="preserve">1.4. </w:t>
      </w:r>
      <w:proofErr w:type="spellStart"/>
      <w:r>
        <w:t>Кк</w:t>
      </w:r>
      <w:proofErr w:type="spellEnd"/>
      <w:r>
        <w:t xml:space="preserve"> - коэффициент качества объекта недвижимого имущества, сооружения: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- 0,3 - объекты, расположенные в подвале; подземные сооружения;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- 0,5 - объекты, расположенные в цокольном этаже;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- 0,8 - объекты, расположенные выше 4-го этажа;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- 1,0 - прочие объекты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 xml:space="preserve">1.5. </w:t>
      </w:r>
      <w:proofErr w:type="spellStart"/>
      <w:r>
        <w:t>Кт</w:t>
      </w:r>
      <w:proofErr w:type="spellEnd"/>
      <w:r>
        <w:t xml:space="preserve"> - коэффициент территориальной зоны:</w:t>
      </w:r>
    </w:p>
    <w:p w:rsidR="00C879AB" w:rsidRDefault="00C879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370"/>
      </w:tblGrid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center"/>
            </w:pPr>
            <w:r>
              <w:t>Месторасположение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>проспект Ленина, Комсомольская площадь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 xml:space="preserve">переулок Октябрьский, ул. Октябрьская, </w:t>
            </w:r>
            <w:proofErr w:type="spellStart"/>
            <w:r>
              <w:t>Оплеснина</w:t>
            </w:r>
            <w:proofErr w:type="spellEnd"/>
            <w:r>
              <w:t>, проспект Космонавтов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 xml:space="preserve">ул. Мира, </w:t>
            </w:r>
            <w:proofErr w:type="spellStart"/>
            <w:r>
              <w:t>Кремса</w:t>
            </w:r>
            <w:proofErr w:type="spellEnd"/>
            <w:r>
              <w:t xml:space="preserve">, </w:t>
            </w:r>
            <w:proofErr w:type="spellStart"/>
            <w:r>
              <w:t>Косолапкина</w:t>
            </w:r>
            <w:proofErr w:type="spellEnd"/>
            <w:r>
              <w:t>, Первомайская, Дзержинского, 30 лет Октября, Юбилейная, Горького, Бушуева, Почтовая, 40 лет Коми АССР, Савина, Гоголя, проезд Дружбы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 xml:space="preserve">ул. Семяшкина, Губкина, Пушкина, Крымская, Володарского, </w:t>
            </w:r>
            <w:proofErr w:type="spellStart"/>
            <w:r>
              <w:t>Чибьюская</w:t>
            </w:r>
            <w:proofErr w:type="spellEnd"/>
            <w:r>
              <w:t xml:space="preserve">, </w:t>
            </w:r>
            <w:proofErr w:type="spellStart"/>
            <w:r>
              <w:t>Ухтинская</w:t>
            </w:r>
            <w:proofErr w:type="spellEnd"/>
            <w:r>
              <w:t xml:space="preserve">, переулки </w:t>
            </w:r>
            <w:proofErr w:type="spellStart"/>
            <w:r>
              <w:t>Чибьюский</w:t>
            </w:r>
            <w:proofErr w:type="spellEnd"/>
            <w:r>
              <w:t xml:space="preserve">, </w:t>
            </w:r>
            <w:proofErr w:type="spellStart"/>
            <w:r>
              <w:t>Прядунова</w:t>
            </w:r>
            <w:proofErr w:type="spellEnd"/>
            <w:r>
              <w:t xml:space="preserve">, проезд </w:t>
            </w:r>
            <w:proofErr w:type="spellStart"/>
            <w:r>
              <w:t>Пионергорский</w:t>
            </w:r>
            <w:proofErr w:type="spellEnd"/>
            <w:r>
              <w:t>, Театральный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 xml:space="preserve">переулок Интернациональный, ул. Интернациональная, Малая, Рябиновая, Западная, Советская, Машиностроителей, Социалистическая, </w:t>
            </w:r>
            <w:proofErr w:type="spellStart"/>
            <w:r>
              <w:t>Сенюкова</w:t>
            </w:r>
            <w:proofErr w:type="spellEnd"/>
            <w:r>
              <w:t xml:space="preserve">, Загородная, Береговая, Куратова, Пионерская, Коммунальная, Александра Алексеева, Сергея Довлатова, Победы, Снежная, </w:t>
            </w:r>
            <w:proofErr w:type="spellStart"/>
            <w:r>
              <w:t>Тиманская</w:t>
            </w:r>
            <w:proofErr w:type="spellEnd"/>
            <w:r>
              <w:t xml:space="preserve">, Сидорова, проезд Строителей, набережная Нефтяников, Газовиков, </w:t>
            </w:r>
            <w:proofErr w:type="spellStart"/>
            <w:r>
              <w:t>Бельгопское</w:t>
            </w:r>
            <w:proofErr w:type="spellEnd"/>
            <w:r>
              <w:t xml:space="preserve"> шоссе, проспект </w:t>
            </w:r>
            <w:proofErr w:type="spellStart"/>
            <w:r>
              <w:t>А.Зерюнова</w:t>
            </w:r>
            <w:proofErr w:type="spellEnd"/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>ул. Севастопольская, Заводская, Вокзальная, Строительная, Станционная</w:t>
            </w:r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 xml:space="preserve">поселки городского типа Водный, Ярега, </w:t>
            </w:r>
            <w:proofErr w:type="spellStart"/>
            <w:r>
              <w:t>Шудаяг</w:t>
            </w:r>
            <w:proofErr w:type="spellEnd"/>
            <w:r>
              <w:t xml:space="preserve">, поселки сельского типа Нижний </w:t>
            </w:r>
            <w:proofErr w:type="spellStart"/>
            <w:r>
              <w:t>Доманик</w:t>
            </w:r>
            <w:proofErr w:type="spellEnd"/>
            <w:r>
              <w:t xml:space="preserve">, Первомайский, </w:t>
            </w:r>
            <w:proofErr w:type="spellStart"/>
            <w:r>
              <w:t>Седью</w:t>
            </w:r>
            <w:proofErr w:type="spellEnd"/>
            <w:r>
              <w:t xml:space="preserve">, </w:t>
            </w:r>
            <w:proofErr w:type="spellStart"/>
            <w:r>
              <w:t>Изъюр</w:t>
            </w:r>
            <w:proofErr w:type="spellEnd"/>
            <w:r>
              <w:t xml:space="preserve">, ул. 1-, 2-, 3-, 4-Березовская, Моторная, Озерная, Чернова, 8-го Марта, Зеленая, Маяковского, П. Морозова, Нагорная, 1-, 2-, 3-Нагорная, Проселочная, Печорская, Парковая, Островского, Трудовая, Южная, Школьная, Промысловая, Рабочая, Заречная, Железнодорожная, </w:t>
            </w:r>
            <w:proofErr w:type="spellStart"/>
            <w:r>
              <w:t>Ветлосяновская</w:t>
            </w:r>
            <w:proofErr w:type="spellEnd"/>
            <w:r>
              <w:t xml:space="preserve">, 1-, 2-, 3-Ветлосяновская, Дорожная, Клубная, Полеводческая, Кирпичная, Кольцевая, Подгорная, Авиационная, Геологов, Молодежная, Портовая, 40 лет ГВФ, Тихоновича, Уральская, </w:t>
            </w:r>
            <w:proofErr w:type="spellStart"/>
            <w:r>
              <w:t>Вуктыльская</w:t>
            </w:r>
            <w:proofErr w:type="spellEnd"/>
            <w:r>
              <w:t xml:space="preserve">, Гаражная, </w:t>
            </w:r>
            <w:proofErr w:type="spellStart"/>
            <w:r>
              <w:t>Ижемская</w:t>
            </w:r>
            <w:proofErr w:type="spellEnd"/>
            <w:r>
              <w:t xml:space="preserve">, 1-, 2-Индустриальная, Лесная, Линейная, Полевая, Ручейная, Сосновая, Южная, Калиновая, 1-, 2-Смородиновая, Малиновая, Березовая, Земляничная, 1-, 2-Солнечная, проезд Таежный, Школьный, переулок Газовиков, Клубный, Кирпичный, территория Крохаль, шоссе </w:t>
            </w:r>
            <w:proofErr w:type="spellStart"/>
            <w:r>
              <w:t>Сосногорское</w:t>
            </w:r>
            <w:proofErr w:type="spellEnd"/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>переулок Дежнева, Транспортный, ул. Дежнева, Транспортная, Северная, Совхозная (</w:t>
            </w:r>
            <w:proofErr w:type="spellStart"/>
            <w:r>
              <w:t>Югэр</w:t>
            </w:r>
            <w:proofErr w:type="spellEnd"/>
            <w:r>
              <w:t xml:space="preserve">), станция </w:t>
            </w:r>
            <w:proofErr w:type="spellStart"/>
            <w:r>
              <w:t>Ветлосян</w:t>
            </w:r>
            <w:proofErr w:type="spellEnd"/>
            <w:r>
              <w:t xml:space="preserve">, поселок городского типа Боровой, поселки сельского типа </w:t>
            </w:r>
            <w:proofErr w:type="spellStart"/>
            <w:r>
              <w:t>Тобысь</w:t>
            </w:r>
            <w:proofErr w:type="spellEnd"/>
            <w:r>
              <w:t xml:space="preserve">, </w:t>
            </w:r>
            <w:proofErr w:type="spellStart"/>
            <w:r>
              <w:t>Гэрдъель</w:t>
            </w:r>
            <w:proofErr w:type="spellEnd"/>
            <w:r>
              <w:t xml:space="preserve">, </w:t>
            </w:r>
            <w:proofErr w:type="spellStart"/>
            <w:r>
              <w:t>Кэмдин</w:t>
            </w:r>
            <w:proofErr w:type="spellEnd"/>
            <w:r>
              <w:t xml:space="preserve">, Веселый Кут, деревни </w:t>
            </w:r>
            <w:proofErr w:type="spellStart"/>
            <w:r>
              <w:lastRenderedPageBreak/>
              <w:t>Гажаяг</w:t>
            </w:r>
            <w:proofErr w:type="spellEnd"/>
            <w:r>
              <w:t xml:space="preserve">, </w:t>
            </w:r>
            <w:proofErr w:type="spellStart"/>
            <w:r>
              <w:t>Изваиль</w:t>
            </w:r>
            <w:proofErr w:type="spellEnd"/>
            <w:r>
              <w:t xml:space="preserve">, </w:t>
            </w:r>
            <w:proofErr w:type="spellStart"/>
            <w:r>
              <w:t>Лайково</w:t>
            </w:r>
            <w:proofErr w:type="spellEnd"/>
            <w:r>
              <w:t xml:space="preserve">, </w:t>
            </w:r>
            <w:proofErr w:type="spellStart"/>
            <w:r>
              <w:t>Поромес</w:t>
            </w:r>
            <w:proofErr w:type="spellEnd"/>
            <w:r>
              <w:t xml:space="preserve">, село </w:t>
            </w:r>
            <w:proofErr w:type="spellStart"/>
            <w:r>
              <w:t>Кедвавом</w:t>
            </w:r>
            <w:proofErr w:type="spellEnd"/>
            <w:r>
              <w:t xml:space="preserve">, местечко </w:t>
            </w:r>
            <w:proofErr w:type="spellStart"/>
            <w:r>
              <w:t>Сырочай</w:t>
            </w:r>
            <w:proofErr w:type="spellEnd"/>
          </w:p>
        </w:tc>
      </w:tr>
      <w:tr w:rsidR="00C879AB">
        <w:tc>
          <w:tcPr>
            <w:tcW w:w="1644" w:type="dxa"/>
          </w:tcPr>
          <w:p w:rsidR="00C879AB" w:rsidRDefault="00C879AB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7370" w:type="dxa"/>
          </w:tcPr>
          <w:p w:rsidR="00C879AB" w:rsidRDefault="00C879AB">
            <w:pPr>
              <w:pStyle w:val="ConsPlusNormal"/>
              <w:jc w:val="both"/>
            </w:pPr>
            <w:r>
              <w:t>за границами населенного пункта</w:t>
            </w:r>
          </w:p>
        </w:tc>
      </w:tr>
    </w:tbl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1.6. Кд - коэффициент вида деятельности. Устанавливается в зависимости от вида деятельности арендатора, соответствующего коду </w:t>
      </w:r>
      <w:hyperlink r:id="rId32">
        <w:r>
          <w:rPr>
            <w:color w:val="0000FF"/>
          </w:rPr>
          <w:t>ОКВЭД</w:t>
        </w:r>
      </w:hyperlink>
      <w:r>
        <w:t>, указанному в сведениях Единого государственного реестра индивидуальных предпринимателей, юридических лиц, а также иным документам, предоставленным Федеральной налоговой службой, и с учетом назначения использования арендуемого помещения (объекта):</w:t>
      </w:r>
    </w:p>
    <w:p w:rsidR="00C879AB" w:rsidRDefault="00C879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443"/>
        <w:gridCol w:w="1928"/>
      </w:tblGrid>
      <w:tr w:rsidR="00C879AB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 xml:space="preserve">Общероссийский </w:t>
            </w:r>
            <w:hyperlink r:id="rId33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</w:t>
            </w:r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 области связи на базе проводных технологий;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4">
              <w:r>
                <w:rPr>
                  <w:color w:val="0000FF"/>
                </w:rPr>
                <w:t>61.1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 области связи на базе беспроводных технологий;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5">
              <w:r>
                <w:rPr>
                  <w:color w:val="0000FF"/>
                </w:rPr>
                <w:t>61.2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денежное посредничество (банки, филиалы);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6">
              <w:r>
                <w:rPr>
                  <w:color w:val="0000FF"/>
                </w:rPr>
                <w:t>64.1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операции с недвижимым имуществом (исключение - управления эксплуатацией жилого фонда за вознаграждение или на договорной основе 68.32.1)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7">
              <w:r>
                <w:rPr>
                  <w:color w:val="0000FF"/>
                </w:rPr>
                <w:t>68.3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 области права и бухгалтерского учета;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8">
              <w:r>
                <w:rPr>
                  <w:color w:val="0000FF"/>
                </w:rPr>
                <w:t>69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рекламная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39">
              <w:r>
                <w:rPr>
                  <w:color w:val="0000FF"/>
                </w:rPr>
                <w:t>73.1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0">
              <w:r>
                <w:rPr>
                  <w:color w:val="0000FF"/>
                </w:rPr>
                <w:t>62.0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частных охранных служб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1">
              <w:r>
                <w:rPr>
                  <w:color w:val="0000FF"/>
                </w:rPr>
                <w:t>80.1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торговля розничная информационным и коммуникационным оборудованием в специализированных магазинах;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2">
              <w:r>
                <w:rPr>
                  <w:color w:val="0000FF"/>
                </w:rPr>
                <w:t>47.4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торговля розничная прочими бытовыми изделиями в специализированных магазинах;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3">
              <w:r>
                <w:rPr>
                  <w:color w:val="0000FF"/>
                </w:rPr>
                <w:t>47.5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торговля розничная товарами культурно-развлекательного назначения в специализированных магазинах;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4">
              <w:r>
                <w:rPr>
                  <w:color w:val="0000FF"/>
                </w:rPr>
                <w:t>47.6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торговля розничная прочими товарами в специализированных магазинах;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5">
              <w:r>
                <w:rPr>
                  <w:color w:val="0000FF"/>
                </w:rPr>
                <w:t>47.7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медицинская и стоматологическая практика;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6">
              <w:r>
                <w:rPr>
                  <w:color w:val="0000FF"/>
                </w:rPr>
                <w:t>86.2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ресторанов и услуги по доставке продуктов питания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7">
              <w:r>
                <w:rPr>
                  <w:color w:val="0000FF"/>
                </w:rPr>
                <w:t>56.1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туристических агентств и туроператоров;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8">
              <w:r>
                <w:rPr>
                  <w:color w:val="0000FF"/>
                </w:rPr>
                <w:t>79.1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техническое обслуживание и ремонт автотранспортных средств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49">
              <w:r>
                <w:rPr>
                  <w:color w:val="0000FF"/>
                </w:rPr>
                <w:t>45.2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lastRenderedPageBreak/>
              <w:t>1,2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издание книг, периодических публикаций и другие виды издательской деятельности;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0">
              <w:r>
                <w:rPr>
                  <w:color w:val="0000FF"/>
                </w:rPr>
                <w:t>58.1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производство кинофильмов, видеофильмов и телевизионных программ;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1">
              <w:r>
                <w:rPr>
                  <w:color w:val="0000FF"/>
                </w:rPr>
                <w:t>59.1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 области звукозаписи и издания музыкальных произведений;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2">
              <w:r>
                <w:rPr>
                  <w:color w:val="0000FF"/>
                </w:rPr>
                <w:t>59.2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 области фотографии;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3">
              <w:r>
                <w:rPr>
                  <w:color w:val="0000FF"/>
                </w:rPr>
                <w:t>74.2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производство ювелирных изделий, бижутерии и подобных товаров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4">
              <w:r>
                <w:rPr>
                  <w:color w:val="0000FF"/>
                </w:rPr>
                <w:t>32.1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по предоставлению прочих вспомогательных услуг для бизнеса;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5">
              <w:r>
                <w:rPr>
                  <w:color w:val="0000FF"/>
                </w:rPr>
                <w:t>82.9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по складированию и хранению;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6">
              <w:r>
                <w:rPr>
                  <w:color w:val="0000FF"/>
                </w:rPr>
                <w:t>52.1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головных офисов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7">
              <w:r>
                <w:rPr>
                  <w:color w:val="0000FF"/>
                </w:rPr>
                <w:t>70.1</w:t>
              </w:r>
            </w:hyperlink>
          </w:p>
        </w:tc>
      </w:tr>
      <w:tr w:rsidR="00C879AB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8">
              <w:r>
                <w:rPr>
                  <w:color w:val="0000FF"/>
                </w:rPr>
                <w:t>47.2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ветеринарная;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59">
              <w:r>
                <w:rPr>
                  <w:color w:val="0000FF"/>
                </w:rPr>
                <w:t>75.0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ботанических садов, зоопарков, государственных природных заповедников и национальных парков;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0">
              <w:r>
                <w:rPr>
                  <w:color w:val="0000FF"/>
                </w:rPr>
                <w:t>91.04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общественных организаций;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1">
              <w:r>
                <w:rPr>
                  <w:color w:val="0000FF"/>
                </w:rPr>
                <w:t>94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образование дополнительное;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2">
              <w:r>
                <w:rPr>
                  <w:color w:val="0000FF"/>
                </w:rPr>
                <w:t>85.4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по предоставлению прочих персональных услуг;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3">
              <w:r>
                <w:rPr>
                  <w:color w:val="0000FF"/>
                </w:rPr>
                <w:t>96.0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4">
              <w:r>
                <w:rPr>
                  <w:color w:val="0000FF"/>
                </w:rPr>
                <w:t>90.0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органов государственного управления и местного самоуправления по вопросам общего и социально-экономического характера;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5">
              <w:r>
                <w:rPr>
                  <w:color w:val="0000FF"/>
                </w:rPr>
                <w:t>84.1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ремонт компьютеров и коммуникационного оборудования;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6">
              <w:r>
                <w:rPr>
                  <w:color w:val="0000FF"/>
                </w:rPr>
                <w:t>95.1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ремонт предметов личного потребления и хозяйственно-бытового назначения;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7">
              <w:r>
                <w:rPr>
                  <w:color w:val="0000FF"/>
                </w:rPr>
                <w:t>95.2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производство одежды;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8">
              <w:r>
                <w:rPr>
                  <w:color w:val="0000FF"/>
                </w:rPr>
                <w:t>14</w:t>
              </w:r>
            </w:hyperlink>
          </w:p>
        </w:tc>
      </w:tr>
      <w:tr w:rsidR="00C879A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деятельность гостиниц и прочих мест для временного проживания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69">
              <w:r>
                <w:rPr>
                  <w:color w:val="0000FF"/>
                </w:rPr>
                <w:t>55.1</w:t>
              </w:r>
            </w:hyperlink>
          </w:p>
        </w:tc>
      </w:tr>
      <w:tr w:rsidR="00C879AB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управление эксплуатацией жилого фонда за вознаграждение или на договорной основе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0">
              <w:r>
                <w:rPr>
                  <w:color w:val="0000FF"/>
                </w:rPr>
                <w:t>68.32.1</w:t>
              </w:r>
            </w:hyperlink>
          </w:p>
        </w:tc>
      </w:tr>
      <w:tr w:rsidR="00C879A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обеспечение электрической энергией, газом и паром, кондиционирование воздуха;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1">
              <w:r>
                <w:rPr>
                  <w:color w:val="0000FF"/>
                </w:rPr>
                <w:t>35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забор, очистка и распределение воды;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2">
              <w:r>
                <w:rPr>
                  <w:color w:val="0000FF"/>
                </w:rPr>
                <w:t>36.0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сбор и обработка сточных вод;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3">
              <w:r>
                <w:rPr>
                  <w:color w:val="0000FF"/>
                </w:rPr>
                <w:t>37.0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  <w:jc w:val="both"/>
            </w:pPr>
            <w:r>
              <w:t>- сбор, обработка и утилизация отходов; обработка вторичного сырья;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4">
              <w:r>
                <w:rPr>
                  <w:color w:val="0000FF"/>
                </w:rPr>
                <w:t>38.0</w:t>
              </w:r>
            </w:hyperlink>
          </w:p>
        </w:tc>
      </w:tr>
      <w:tr w:rsidR="00C879AB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  <w:jc w:val="both"/>
            </w:pPr>
            <w:r>
              <w:t>-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79AB" w:rsidRDefault="00C879AB">
            <w:pPr>
              <w:pStyle w:val="ConsPlusNormal"/>
            </w:pPr>
            <w:r>
              <w:t xml:space="preserve">- </w:t>
            </w:r>
            <w:hyperlink r:id="rId75">
              <w:r>
                <w:rPr>
                  <w:color w:val="0000FF"/>
                </w:rPr>
                <w:t>39.0</w:t>
              </w:r>
            </w:hyperlink>
          </w:p>
        </w:tc>
      </w:tr>
    </w:tbl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>1.6.2. Виды деятельности, не вошедшие в настоящий перечень, оцениваются Кд = 1,0.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1.6.3.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площади.</w:t>
      </w:r>
    </w:p>
    <w:p w:rsidR="00C879AB" w:rsidRDefault="00C879AB">
      <w:pPr>
        <w:pStyle w:val="ConsPlusNormal"/>
        <w:spacing w:before="200"/>
        <w:ind w:firstLine="540"/>
        <w:jc w:val="both"/>
      </w:pPr>
      <w:r>
        <w:t>В случае если в указанном порядке не представляется возможным определить вид деятельности арендатора в арендуемом помещении (здании, сооружении), применяется максимальный коэффициент вида деятельности, осуществляемой арендатором в арендуемом помещении.</w:t>
      </w:r>
    </w:p>
    <w:p w:rsidR="00C879AB" w:rsidRDefault="00C879AB">
      <w:pPr>
        <w:pStyle w:val="ConsPlusNormal"/>
      </w:pPr>
    </w:p>
    <w:p w:rsidR="00C879AB" w:rsidRDefault="00C879AB">
      <w:pPr>
        <w:pStyle w:val="ConsPlusTitle"/>
        <w:jc w:val="center"/>
        <w:outlineLvl w:val="1"/>
      </w:pPr>
      <w:r>
        <w:t>II. Методика расчета арендной платы при почасовом</w:t>
      </w:r>
    </w:p>
    <w:p w:rsidR="00C879AB" w:rsidRDefault="00C879AB">
      <w:pPr>
        <w:pStyle w:val="ConsPlusTitle"/>
        <w:jc w:val="center"/>
      </w:pPr>
      <w:r>
        <w:t>использовании недвижимого имущества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>Годовая арендная плата при почасовом использовании муниципального недвижимого имущества (</w:t>
      </w:r>
      <w:proofErr w:type="spellStart"/>
      <w:proofErr w:type="gramStart"/>
      <w:r>
        <w:t>Агод</w:t>
      </w:r>
      <w:proofErr w:type="spellEnd"/>
      <w:r>
        <w:t>.(</w:t>
      </w:r>
      <w:proofErr w:type="spellStart"/>
      <w:proofErr w:type="gramEnd"/>
      <w:r>
        <w:t>почас</w:t>
      </w:r>
      <w:proofErr w:type="spellEnd"/>
      <w:r>
        <w:t xml:space="preserve">.) рассчитывается исходя из суммы полной годовой арендной платы за переданное имущество (определенной в соответствии с </w:t>
      </w:r>
      <w:hyperlink w:anchor="P47">
        <w:r>
          <w:rPr>
            <w:color w:val="0000FF"/>
          </w:rPr>
          <w:t>разделом I</w:t>
        </w:r>
      </w:hyperlink>
      <w:r>
        <w:t>) следующим образом: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proofErr w:type="spellStart"/>
      <w:proofErr w:type="gramStart"/>
      <w:r>
        <w:t>Агод</w:t>
      </w:r>
      <w:proofErr w:type="spellEnd"/>
      <w:r>
        <w:t>.(</w:t>
      </w:r>
      <w:proofErr w:type="spellStart"/>
      <w:proofErr w:type="gramEnd"/>
      <w:r>
        <w:t>почас</w:t>
      </w:r>
      <w:proofErr w:type="spellEnd"/>
      <w:r>
        <w:t xml:space="preserve">.) = </w:t>
      </w:r>
      <w:proofErr w:type="spellStart"/>
      <w:r>
        <w:t>Агод</w:t>
      </w:r>
      <w:proofErr w:type="spellEnd"/>
      <w:proofErr w:type="gramStart"/>
      <w:r>
        <w:t>. :</w:t>
      </w:r>
      <w:proofErr w:type="gramEnd"/>
      <w:r>
        <w:t xml:space="preserve"> </w:t>
      </w:r>
      <w:proofErr w:type="spellStart"/>
      <w:r>
        <w:t>Чгод</w:t>
      </w:r>
      <w:proofErr w:type="spellEnd"/>
      <w:r>
        <w:t xml:space="preserve">. x </w:t>
      </w:r>
      <w:proofErr w:type="spellStart"/>
      <w:r>
        <w:t>Чисп</w:t>
      </w:r>
      <w:proofErr w:type="spellEnd"/>
      <w:r>
        <w:t xml:space="preserve">. = (S x С x Км x </w:t>
      </w:r>
      <w:proofErr w:type="spellStart"/>
      <w:r>
        <w:t>Кк</w:t>
      </w:r>
      <w:proofErr w:type="spellEnd"/>
      <w:r>
        <w:t xml:space="preserve"> x </w:t>
      </w:r>
      <w:proofErr w:type="spellStart"/>
      <w:r>
        <w:t>Кт</w:t>
      </w:r>
      <w:proofErr w:type="spellEnd"/>
      <w:r>
        <w:t xml:space="preserve"> x Кд</w:t>
      </w:r>
      <w:proofErr w:type="gramStart"/>
      <w:r>
        <w:t>) :</w:t>
      </w:r>
      <w:proofErr w:type="gramEnd"/>
      <w:r>
        <w:t xml:space="preserve"> 8760 x </w:t>
      </w:r>
      <w:proofErr w:type="spellStart"/>
      <w:r>
        <w:t>Чисп</w:t>
      </w:r>
      <w:proofErr w:type="spellEnd"/>
      <w:r>
        <w:t>., где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proofErr w:type="spellStart"/>
      <w:r>
        <w:t>Агод</w:t>
      </w:r>
      <w:proofErr w:type="spellEnd"/>
      <w:r>
        <w:t xml:space="preserve">. - сумма годовой арендной платы, рассчитанная в соответствии с </w:t>
      </w:r>
      <w:hyperlink w:anchor="P47">
        <w:r>
          <w:rPr>
            <w:color w:val="0000FF"/>
          </w:rPr>
          <w:t>разделом I</w:t>
        </w:r>
      </w:hyperlink>
      <w:r>
        <w:t xml:space="preserve"> настоящей Методики,</w:t>
      </w:r>
    </w:p>
    <w:p w:rsidR="00C879AB" w:rsidRDefault="00C879AB">
      <w:pPr>
        <w:pStyle w:val="ConsPlusNormal"/>
        <w:spacing w:before="200"/>
        <w:ind w:firstLine="540"/>
        <w:jc w:val="both"/>
      </w:pPr>
      <w:proofErr w:type="spellStart"/>
      <w:r>
        <w:t>Чгод</w:t>
      </w:r>
      <w:proofErr w:type="spellEnd"/>
      <w:r>
        <w:t>. - количество часов в году (8760 часов в год),</w:t>
      </w:r>
    </w:p>
    <w:p w:rsidR="00C879AB" w:rsidRDefault="00C879AB">
      <w:pPr>
        <w:pStyle w:val="ConsPlusNormal"/>
        <w:spacing w:before="200"/>
        <w:ind w:firstLine="540"/>
        <w:jc w:val="both"/>
      </w:pPr>
      <w:proofErr w:type="spellStart"/>
      <w:r>
        <w:t>Чисп</w:t>
      </w:r>
      <w:proofErr w:type="spellEnd"/>
      <w:r>
        <w:t>. - количество часов использования арендатором помещения в год.</w:t>
      </w:r>
    </w:p>
    <w:p w:rsidR="00C879AB" w:rsidRDefault="00C879AB">
      <w:pPr>
        <w:pStyle w:val="ConsPlusNormal"/>
      </w:pPr>
    </w:p>
    <w:p w:rsidR="00C879AB" w:rsidRDefault="00C879AB">
      <w:pPr>
        <w:pStyle w:val="ConsPlusTitle"/>
        <w:jc w:val="center"/>
        <w:outlineLvl w:val="1"/>
      </w:pPr>
      <w:r>
        <w:t>III. Методика расчета арендной платы за объекты</w:t>
      </w:r>
    </w:p>
    <w:p w:rsidR="00C879AB" w:rsidRDefault="00C879AB">
      <w:pPr>
        <w:pStyle w:val="ConsPlusTitle"/>
        <w:jc w:val="center"/>
      </w:pPr>
      <w:r>
        <w:t>муниципального движимого имущества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Размер годовой арендной платы: </w:t>
      </w:r>
      <w:proofErr w:type="spellStart"/>
      <w:r>
        <w:t>Агод</w:t>
      </w:r>
      <w:proofErr w:type="spellEnd"/>
      <w:r>
        <w:t xml:space="preserve">. = Со x </w:t>
      </w:r>
      <w:proofErr w:type="spellStart"/>
      <w:r>
        <w:t>Кн</w:t>
      </w:r>
      <w:proofErr w:type="spellEnd"/>
      <w:r>
        <w:t>, где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  <w:ind w:firstLine="540"/>
        <w:jc w:val="both"/>
      </w:pPr>
      <w:r>
        <w:t xml:space="preserve">Со - остаточная стоимость имущества, передаваемого в аренду. В случае стопроцентного износа имущества </w:t>
      </w:r>
      <w:proofErr w:type="gramStart"/>
      <w:r>
        <w:t>Со</w:t>
      </w:r>
      <w:proofErr w:type="gramEnd"/>
      <w:r>
        <w:t xml:space="preserve"> принимается равным 20% от первоначальной балансовой стоимости.</w:t>
      </w:r>
    </w:p>
    <w:p w:rsidR="00C879AB" w:rsidRDefault="00C879AB">
      <w:pPr>
        <w:pStyle w:val="ConsPlusNormal"/>
        <w:spacing w:before="20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эффективности капитальных вложений - 0,15.</w:t>
      </w:r>
    </w:p>
    <w:p w:rsidR="00C879AB" w:rsidRDefault="00C879AB">
      <w:pPr>
        <w:pStyle w:val="ConsPlusNormal"/>
        <w:spacing w:before="200"/>
        <w:ind w:firstLine="540"/>
        <w:jc w:val="both"/>
      </w:pPr>
      <w:proofErr w:type="spellStart"/>
      <w:r>
        <w:t>Кн</w:t>
      </w:r>
      <w:proofErr w:type="spellEnd"/>
      <w:r>
        <w:t xml:space="preserve"> = 0,02 для организаций, осуществляющих техническое обслуживание жилищного фонда, обеспечивающих предоставление населению коммунальных услуг, управляющим МКД компаниям.</w:t>
      </w:r>
    </w:p>
    <w:p w:rsidR="00C879AB" w:rsidRDefault="00C879AB">
      <w:pPr>
        <w:pStyle w:val="ConsPlusNormal"/>
        <w:spacing w:before="200"/>
        <w:ind w:firstLine="540"/>
        <w:jc w:val="both"/>
      </w:pPr>
      <w:proofErr w:type="spellStart"/>
      <w:r>
        <w:t>Кн</w:t>
      </w:r>
      <w:proofErr w:type="spellEnd"/>
      <w:r>
        <w:t xml:space="preserve"> = 0,01 для муниципальных унитарных предприятий.</w:t>
      </w:r>
    </w:p>
    <w:p w:rsidR="00C879AB" w:rsidRDefault="00C879AB">
      <w:pPr>
        <w:pStyle w:val="ConsPlusNormal"/>
      </w:pPr>
    </w:p>
    <w:p w:rsidR="00C879AB" w:rsidRDefault="00C879AB">
      <w:pPr>
        <w:pStyle w:val="ConsPlusNormal"/>
      </w:pPr>
    </w:p>
    <w:p w:rsidR="00C879AB" w:rsidRDefault="00C879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040" w:rsidRDefault="00A46040"/>
    <w:sectPr w:rsidR="00A46040" w:rsidSect="004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B"/>
    <w:rsid w:val="00A46040"/>
    <w:rsid w:val="00C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4D1F-2E9B-439A-807F-FBD5E77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7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7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40F9115D32B04B754D7EA1E1FA00350AC4BA5862C9A37E9C6B28D89FBEEA527C6988BB02ACA5A14623197D7C7B5CB3AC02DC401B352821269A07FDF7REI" TargetMode="External"/><Relationship Id="rId18" Type="http://schemas.openxmlformats.org/officeDocument/2006/relationships/hyperlink" Target="consultantplus://offline/ref=3F40F9115D32B04B754D7EA1E1FA00350AC4BA5860C9AC739F6175D297E7E6507B66D7AC05E5A9A046231978722459A6BD5AD147022B21363A9805FFRDI" TargetMode="External"/><Relationship Id="rId26" Type="http://schemas.openxmlformats.org/officeDocument/2006/relationships/hyperlink" Target="consultantplus://offline/ref=3F40F9115D32B04B754D7EA1E1FA00350AC4BA5862CAA278986A28D89FBEEA527C6988BB02ACA5A14623197D7C7B5CB3AC02DC401B352821269A07FDF7REI" TargetMode="External"/><Relationship Id="rId39" Type="http://schemas.openxmlformats.org/officeDocument/2006/relationships/hyperlink" Target="consultantplus://offline/ref=3F40F9115D32B04B754D60ACF7965E3108CDE05260CEAE2CC53E2E8FC0EEEC073C298EEE41ECA1A547284D2C3D2505E2EF49D1490229282AF3RAI" TargetMode="External"/><Relationship Id="rId21" Type="http://schemas.openxmlformats.org/officeDocument/2006/relationships/hyperlink" Target="consultantplus://offline/ref=3F40F9115D32B04B754D7EA1E1FA00350AC4BA5867C8A27E906175D297E7E6507B66D7AC05E5A9A046231978722459A6BD5AD147022B21363A9805FFRDI" TargetMode="External"/><Relationship Id="rId34" Type="http://schemas.openxmlformats.org/officeDocument/2006/relationships/hyperlink" Target="consultantplus://offline/ref=3F40F9115D32B04B754D60ACF7965E3108CDE05260CEAE2CC53E2E8FC0EEEC073C298EEE41ECACA440284D2C3D2505E2EF49D1490229282AF3RAI" TargetMode="External"/><Relationship Id="rId42" Type="http://schemas.openxmlformats.org/officeDocument/2006/relationships/hyperlink" Target="consultantplus://offline/ref=3F40F9115D32B04B754D60ACF7965E3108CDE05260CEAE2CC53E2E8FC0EEEC073C298EEE41EBAEA744284D2C3D2505E2EF49D1490229282AF3RAI" TargetMode="External"/><Relationship Id="rId47" Type="http://schemas.openxmlformats.org/officeDocument/2006/relationships/hyperlink" Target="consultantplus://offline/ref=3F40F9115D32B04B754D60ACF7965E3108CDE05260CEAE2CC53E2E8FC0EEEC073C298EEE41ECABA24F284D2C3D2505E2EF49D1490229282AF3RAI" TargetMode="External"/><Relationship Id="rId50" Type="http://schemas.openxmlformats.org/officeDocument/2006/relationships/hyperlink" Target="consultantplus://offline/ref=3F40F9115D32B04B754D60ACF7965E3108CDE05260CEAE2CC53E2E8FC0EEEC073C298EEE41ECABA747284D2C3D2505E2EF49D1490229282AF3RAI" TargetMode="External"/><Relationship Id="rId55" Type="http://schemas.openxmlformats.org/officeDocument/2006/relationships/hyperlink" Target="consultantplus://offline/ref=3F40F9115D32B04B754D60ACF7965E3108CDE05260CEAE2CC53E2E8FC0EEEC073C298EEE41EDAAA044284D2C3D2505E2EF49D1490229282AF3RAI" TargetMode="External"/><Relationship Id="rId63" Type="http://schemas.openxmlformats.org/officeDocument/2006/relationships/hyperlink" Target="consultantplus://offline/ref=3F40F9115D32B04B754D60ACF7965E3108CDE05260CEAE2CC53E2E8FC0EEEC073C298EEE41EDADA943284D2C3D2505E2EF49D1490229282AF3RAI" TargetMode="External"/><Relationship Id="rId68" Type="http://schemas.openxmlformats.org/officeDocument/2006/relationships/hyperlink" Target="consultantplus://offline/ref=3F40F9115D32B04B754D60ACF7965E3108CDE05260CEAE2CC53E2E8FC0EEEC073C298EEE41E9A9A842284D2C3D2505E2EF49D1490229282AF3RA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F40F9115D32B04B754D7EA1E1FA00350AC4BA5867C8A27E906175D297E7E6507B66D7AC05E5A9A046231978722459A6BD5AD147022B21363A9805FFRDI" TargetMode="External"/><Relationship Id="rId71" Type="http://schemas.openxmlformats.org/officeDocument/2006/relationships/hyperlink" Target="consultantplus://offline/ref=3F40F9115D32B04B754D60ACF7965E3108CDE05260CEAE2CC53E2E8FC0EEEC073C298EEE41EAAFA147284D2C3D2505E2EF49D1490229282AF3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40F9115D32B04B754D7EA1E1FA00350AC4BA5867CBA07B9B6175D297E7E6507B66D7AC05E5A9A046231F79722459A6BD5AD147022B21363A9805FFRDI" TargetMode="External"/><Relationship Id="rId29" Type="http://schemas.openxmlformats.org/officeDocument/2006/relationships/hyperlink" Target="consultantplus://offline/ref=3F40F9115D32B04B754D7EA1E1FA00350AC4BA5862C3A67F916E28D89FBEEA527C6988BB02ACA5A14623197D7F7B5CB3AC02DC401B352821269A07FDF7REI" TargetMode="External"/><Relationship Id="rId11" Type="http://schemas.openxmlformats.org/officeDocument/2006/relationships/hyperlink" Target="consultantplus://offline/ref=3F40F9115D32B04B754D7EA1E1FA00350AC4BA586AC3A67D9C6175D297E7E6507B66D7AC05E5A9A046231978722459A6BD5AD147022B21363A9805FFRDI" TargetMode="External"/><Relationship Id="rId24" Type="http://schemas.openxmlformats.org/officeDocument/2006/relationships/hyperlink" Target="consultantplus://offline/ref=3F40F9115D32B04B754D7EA1E1FA00350AC4BA5865CAAC72906175D297E7E6507B66D7AC05E5A9A046231978722459A6BD5AD147022B21363A9805FFRDI" TargetMode="External"/><Relationship Id="rId32" Type="http://schemas.openxmlformats.org/officeDocument/2006/relationships/hyperlink" Target="consultantplus://offline/ref=3F40F9115D32B04B754D60ACF7965E3108CDE05260CEAE2CC53E2E8FC0EEEC072E29D6E241EFB6A04F3D1B7D7BF7R2I" TargetMode="External"/><Relationship Id="rId37" Type="http://schemas.openxmlformats.org/officeDocument/2006/relationships/hyperlink" Target="consultantplus://offline/ref=3F40F9115D32B04B754D60ACF7965E3108CDE05260CEAE2CC53E2E8FC0EEEC073C298EEE41ECAFA544284D2C3D2505E2EF49D1490229282AF3RAI" TargetMode="External"/><Relationship Id="rId40" Type="http://schemas.openxmlformats.org/officeDocument/2006/relationships/hyperlink" Target="consultantplus://offline/ref=3F40F9115D32B04B754D60ACF7965E3108CDE05260CEAE2CC53E2E8FC0EEEC073C298EEE41ECACA940284D2C3D2505E2EF49D1490229282AF3RAI" TargetMode="External"/><Relationship Id="rId45" Type="http://schemas.openxmlformats.org/officeDocument/2006/relationships/hyperlink" Target="consultantplus://offline/ref=3F40F9115D32B04B754D60ACF7965E3108CDE05260CEAE2CC53E2E8FC0EEEC073C298EEE41EBAFA846284D2C3D2505E2EF49D1490229282AF3RAI" TargetMode="External"/><Relationship Id="rId53" Type="http://schemas.openxmlformats.org/officeDocument/2006/relationships/hyperlink" Target="consultantplus://offline/ref=3F40F9115D32B04B754D60ACF7965E3108CDE05260CEAE2CC53E2E8FC0EEEC073C298EEE41ECA1A744284D2C3D2505E2EF49D1490229282AF3RAI" TargetMode="External"/><Relationship Id="rId58" Type="http://schemas.openxmlformats.org/officeDocument/2006/relationships/hyperlink" Target="consultantplus://offline/ref=3F40F9115D32B04B754D60ACF7965E3108CDE05260CEAE2CC53E2E8FC0EEEC073C298EEE41EBADA842284D2C3D2505E2EF49D1490229282AF3RAI" TargetMode="External"/><Relationship Id="rId66" Type="http://schemas.openxmlformats.org/officeDocument/2006/relationships/hyperlink" Target="consultantplus://offline/ref=3F40F9115D32B04B754D60ACF7965E3108CDE05260CEAE2CC53E2E8FC0EEEC073C298EEE41EDADA54E284D2C3D2505E2EF49D1490229282AF3RAI" TargetMode="External"/><Relationship Id="rId74" Type="http://schemas.openxmlformats.org/officeDocument/2006/relationships/hyperlink" Target="consultantplus://offline/ref=3F40F9115D32B04B754D60ACF7965E3108CDE05260CEAE2CC53E2E8FC0EEEC073C298EEE41EAA0A346284D2C3D2505E2EF49D1490229282AF3RAI" TargetMode="External"/><Relationship Id="rId5" Type="http://schemas.openxmlformats.org/officeDocument/2006/relationships/hyperlink" Target="consultantplus://offline/ref=3F40F9115D32B04B754D7EA1E1FA00350AC4BA5860CCAC7E906175D297E7E6507B66D7AC05E5A9A046231978722459A6BD5AD147022B21363A9805FFRDI" TargetMode="External"/><Relationship Id="rId15" Type="http://schemas.openxmlformats.org/officeDocument/2006/relationships/hyperlink" Target="consultantplus://offline/ref=3F40F9115D32B04B754D7EA1E1FA00350AC4BA5862C3A67F916E28D89FBEEA527C6988BB02ACA5A14623197D7C7B5CB3AC02DC401B352821269A07FDF7REI" TargetMode="External"/><Relationship Id="rId23" Type="http://schemas.openxmlformats.org/officeDocument/2006/relationships/hyperlink" Target="consultantplus://offline/ref=3F40F9115D32B04B754D7EA1E1FA00350AC4BA5867CCA5799A6175D297E7E6507B66D7AC05E5A9A046231978722459A6BD5AD147022B21363A9805FFRDI" TargetMode="External"/><Relationship Id="rId28" Type="http://schemas.openxmlformats.org/officeDocument/2006/relationships/hyperlink" Target="consultantplus://offline/ref=3F40F9115D32B04B754D7EA1E1FA00350AC4BA5862C2A37F996D28D89FBEEA527C6988BB02ACA5A14623197D7F7B5CB3AC02DC401B352821269A07FDF7REI" TargetMode="External"/><Relationship Id="rId36" Type="http://schemas.openxmlformats.org/officeDocument/2006/relationships/hyperlink" Target="consultantplus://offline/ref=3F40F9115D32B04B754D60ACF7965E3108CDE05260CEAE2CC53E2E8FC0EEEC073C298EEE41ECADA647284D2C3D2505E2EF49D1490229282AF3RAI" TargetMode="External"/><Relationship Id="rId49" Type="http://schemas.openxmlformats.org/officeDocument/2006/relationships/hyperlink" Target="consultantplus://offline/ref=3F40F9115D32B04B754D60ACF7965E3108CDE05260CEAE2CC53E2E8FC0EEEC073C298EEE41EBA8A646284D2C3D2505E2EF49D1490229282AF3RAI" TargetMode="External"/><Relationship Id="rId57" Type="http://schemas.openxmlformats.org/officeDocument/2006/relationships/hyperlink" Target="consultantplus://offline/ref=3F40F9115D32B04B754D60ACF7965E3108CDE05260CEAE2CC53E2E8FC0EEEC073C298EEE41ECA0A142284D2C3D2505E2EF49D1490229282AF3RAI" TargetMode="External"/><Relationship Id="rId61" Type="http://schemas.openxmlformats.org/officeDocument/2006/relationships/hyperlink" Target="consultantplus://offline/ref=3F40F9115D32B04B754D60ACF7965E3108CDE05260CEAE2CC53E2E8FC0EEEC073C298EEE41EDADA342284D2C3D2505E2EF49D1490229282AF3RAI" TargetMode="External"/><Relationship Id="rId10" Type="http://schemas.openxmlformats.org/officeDocument/2006/relationships/hyperlink" Target="consultantplus://offline/ref=3F40F9115D32B04B754D7EA1E1FA00350AC4BA5865CAAC72906175D297E7E6507B66D7AC05E5A9A046231978722459A6BD5AD147022B21363A9805FFRDI" TargetMode="External"/><Relationship Id="rId19" Type="http://schemas.openxmlformats.org/officeDocument/2006/relationships/hyperlink" Target="consultantplus://offline/ref=3F40F9115D32B04B754D7EA1E1FA00350AC4BA5860CCAC7E906175D297E7E6507B66D7AC05E5A9A046231978722459A6BD5AD147022B21363A9805FFRDI" TargetMode="External"/><Relationship Id="rId31" Type="http://schemas.openxmlformats.org/officeDocument/2006/relationships/hyperlink" Target="consultantplus://offline/ref=3F40F9115D32B04B754D7EA1E1FA00350AC4BA5862C3A67F916E28D89FBEEA527C6988BB02ACA5A14623197D7E7B5CB3AC02DC401B352821269A07FDF7REI" TargetMode="External"/><Relationship Id="rId44" Type="http://schemas.openxmlformats.org/officeDocument/2006/relationships/hyperlink" Target="consultantplus://offline/ref=3F40F9115D32B04B754D60ACF7965E3108CDE05260CEAE2CC53E2E8FC0EEEC073C298EEE41EBAFA546284D2C3D2505E2EF49D1490229282AF3RAI" TargetMode="External"/><Relationship Id="rId52" Type="http://schemas.openxmlformats.org/officeDocument/2006/relationships/hyperlink" Target="consultantplus://offline/ref=3F40F9115D32B04B754D60ACF7965E3108CDE05260CEAE2CC53E2E8FC0EEEC073C298EEE41ECACA244284D2C3D2505E2EF49D1490229282AF3RAI" TargetMode="External"/><Relationship Id="rId60" Type="http://schemas.openxmlformats.org/officeDocument/2006/relationships/hyperlink" Target="consultantplus://offline/ref=3F40F9115D32B04B754D60ACF7965E3108CDE05260CEAE2CC53E2E8FC0EEEC073C298EEE41EDACA742284D2C3D2505E2EF49D1490229282AF3RAI" TargetMode="External"/><Relationship Id="rId65" Type="http://schemas.openxmlformats.org/officeDocument/2006/relationships/hyperlink" Target="consultantplus://offline/ref=3F40F9115D32B04B754D60ACF7965E3108CDE05260CEAE2CC53E2E8FC0EEEC073C298EEE41EDAAA142284D2C3D2505E2EF49D1490229282AF3RAI" TargetMode="External"/><Relationship Id="rId73" Type="http://schemas.openxmlformats.org/officeDocument/2006/relationships/hyperlink" Target="consultantplus://offline/ref=3F40F9115D32B04B754D60ACF7965E3108CDE05260CEAE2CC53E2E8FC0EEEC073C298EEE41EAA0A240284D2C3D2505E2EF49D1490229282AF3RAI" TargetMode="External"/><Relationship Id="rId4" Type="http://schemas.openxmlformats.org/officeDocument/2006/relationships/hyperlink" Target="consultantplus://offline/ref=3F40F9115D32B04B754D7EA1E1FA00350AC4BA5860C9AC739F6175D297E7E6507B66D7AC05E5A9A046231978722459A6BD5AD147022B21363A9805FFRDI" TargetMode="External"/><Relationship Id="rId9" Type="http://schemas.openxmlformats.org/officeDocument/2006/relationships/hyperlink" Target="consultantplus://offline/ref=3F40F9115D32B04B754D7EA1E1FA00350AC4BA5867CCA5799A6175D297E7E6507B66D7AC05E5A9A046231978722459A6BD5AD147022B21363A9805FFRDI" TargetMode="External"/><Relationship Id="rId14" Type="http://schemas.openxmlformats.org/officeDocument/2006/relationships/hyperlink" Target="consultantplus://offline/ref=3F40F9115D32B04B754D7EA1E1FA00350AC4BA5862C2A37F996D28D89FBEEA527C6988BB02ACA5A14623197D7C7B5CB3AC02DC401B352821269A07FDF7REI" TargetMode="External"/><Relationship Id="rId22" Type="http://schemas.openxmlformats.org/officeDocument/2006/relationships/hyperlink" Target="consultantplus://offline/ref=3F40F9115D32B04B754D7EA1E1FA00350AC4BA5867CFA17C9F6175D297E7E6507B66D7AC05E5A9A046231978722459A6BD5AD147022B21363A9805FFRDI" TargetMode="External"/><Relationship Id="rId27" Type="http://schemas.openxmlformats.org/officeDocument/2006/relationships/hyperlink" Target="consultantplus://offline/ref=3F40F9115D32B04B754D7EA1E1FA00350AC4BA5862C9A37E9C6B28D89FBEEA527C6988BB02ACA5A14623197D7C7B5CB3AC02DC401B352821269A07FDF7REI" TargetMode="External"/><Relationship Id="rId30" Type="http://schemas.openxmlformats.org/officeDocument/2006/relationships/hyperlink" Target="consultantplus://offline/ref=3F40F9115D32B04B754D7EA1E1FA00350AC4BA5867CBA07B9B6175D297E7E6507B66D7AC05E5A9A046231F79722459A6BD5AD147022B21363A9805FFRDI" TargetMode="External"/><Relationship Id="rId35" Type="http://schemas.openxmlformats.org/officeDocument/2006/relationships/hyperlink" Target="consultantplus://offline/ref=3F40F9115D32B04B754D60ACF7965E3108CDE05260CEAE2CC53E2E8FC0EEEC073C298EEE41ECACA641284D2C3D2505E2EF49D1490229282AF3RAI" TargetMode="External"/><Relationship Id="rId43" Type="http://schemas.openxmlformats.org/officeDocument/2006/relationships/hyperlink" Target="consultantplus://offline/ref=3F40F9115D32B04B754D60ACF7965E3108CDE05260CEAE2CC53E2E8FC0EEEC073C298EEE41EBAEA84E284D2C3D2505E2EF49D1490229282AF3RAI" TargetMode="External"/><Relationship Id="rId48" Type="http://schemas.openxmlformats.org/officeDocument/2006/relationships/hyperlink" Target="consultantplus://offline/ref=3F40F9115D32B04B754D60ACF7965E3108CDE05260CEAE2CC53E2E8FC0EEEC073C298EEE41EDA9A247284D2C3D2505E2EF49D1490229282AF3RAI" TargetMode="External"/><Relationship Id="rId56" Type="http://schemas.openxmlformats.org/officeDocument/2006/relationships/hyperlink" Target="consultantplus://offline/ref=3F40F9115D32B04B754D60ACF7965E3108CDE05260CEAE2CC53E2E8FC0EEEC073C298EEE41ECA9A443284D2C3D2505E2EF49D1490229282AF3RAI" TargetMode="External"/><Relationship Id="rId64" Type="http://schemas.openxmlformats.org/officeDocument/2006/relationships/hyperlink" Target="consultantplus://offline/ref=3F40F9115D32B04B754D60ACF7965E3108CDE05260CEAE2CC53E2E8FC0EEEC073C298EEE41EDACA441284D2C3D2505E2EF49D1490229282AF3RAI" TargetMode="External"/><Relationship Id="rId69" Type="http://schemas.openxmlformats.org/officeDocument/2006/relationships/hyperlink" Target="consultantplus://offline/ref=3F40F9115D32B04B754D60ACF7965E3108CDE05260CEAE2CC53E2E8FC0EEEC073C298EEE41ECABA146284D2C3D2505E2EF49D1490229282AF3RA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F40F9115D32B04B754D7EA1E1FA00350AC4BA5867CFA17C9F6175D297E7E6507B66D7AC05E5A9A046231978722459A6BD5AD147022B21363A9805FFRDI" TargetMode="External"/><Relationship Id="rId51" Type="http://schemas.openxmlformats.org/officeDocument/2006/relationships/hyperlink" Target="consultantplus://offline/ref=3F40F9115D32B04B754D60ACF7965E3108CDE05260CEAE2CC53E2E8FC0EEEC073C298EEE41ECACA144284D2C3D2505E2EF49D1490229282AF3RAI" TargetMode="External"/><Relationship Id="rId72" Type="http://schemas.openxmlformats.org/officeDocument/2006/relationships/hyperlink" Target="consultantplus://offline/ref=3F40F9115D32B04B754D60ACF7965E3108CDE05260CEAE2CC53E2E8FC0EEEC073C298EEE41EAA0A143284D2C3D2505E2EF49D1490229282AF3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40F9115D32B04B754D7EA1E1FA00350AC4BA5862CAA278986A28D89FBEEA527C6988BB02ACA5A14623197D7C7B5CB3AC02DC401B352821269A07FDF7REI" TargetMode="External"/><Relationship Id="rId17" Type="http://schemas.openxmlformats.org/officeDocument/2006/relationships/hyperlink" Target="consultantplus://offline/ref=3F40F9115D32B04B754D7EA1E1FA00350AC4BA5861CAA27D9C6828D89FBEEA527C6988BB02ACA5A146231F747A7B5CB3AC02DC401B352821269A07FDF7REI" TargetMode="External"/><Relationship Id="rId25" Type="http://schemas.openxmlformats.org/officeDocument/2006/relationships/hyperlink" Target="consultantplus://offline/ref=3F40F9115D32B04B754D7EA1E1FA00350AC4BA586AC3A67D9C6175D297E7E6507B66D7AC05E5A9A046231978722459A6BD5AD147022B21363A9805FFRDI" TargetMode="External"/><Relationship Id="rId33" Type="http://schemas.openxmlformats.org/officeDocument/2006/relationships/hyperlink" Target="consultantplus://offline/ref=3F40F9115D32B04B754D60ACF7965E3108CDE05260CEAE2CC53E2E8FC0EEEC072E29D6E241EFB6A04F3D1B7D7BF7R2I" TargetMode="External"/><Relationship Id="rId38" Type="http://schemas.openxmlformats.org/officeDocument/2006/relationships/hyperlink" Target="consultantplus://offline/ref=3F40F9115D32B04B754D60ACF7965E3108CDE05260CEAE2CC53E2E8FC0EEEC073C298EEE41ECAFA942284D2C3D2505E2EF49D1490229282AF3RAI" TargetMode="External"/><Relationship Id="rId46" Type="http://schemas.openxmlformats.org/officeDocument/2006/relationships/hyperlink" Target="consultantplus://offline/ref=3F40F9115D32B04B754D60ACF7965E3108CDE05260CEAE2CC53E2E8FC0EEEC073C298EEE41EDABA841284D2C3D2505E2EF49D1490229282AF3RAI" TargetMode="External"/><Relationship Id="rId59" Type="http://schemas.openxmlformats.org/officeDocument/2006/relationships/hyperlink" Target="consultantplus://offline/ref=3F40F9115D32B04B754D60ACF7965E3108CDE05260CEAE2CC53E2E8FC0EEEC073C298EEE41EDA8A14F284D2C3D2505E2EF49D1490229282AF3RAI" TargetMode="External"/><Relationship Id="rId67" Type="http://schemas.openxmlformats.org/officeDocument/2006/relationships/hyperlink" Target="consultantplus://offline/ref=3F40F9115D32B04B754D60ACF7965E3108CDE05260CEAE2CC53E2E8FC0EEEC073C298EEE41EDADA642284D2C3D2505E2EF49D1490229282AF3RAI" TargetMode="External"/><Relationship Id="rId20" Type="http://schemas.openxmlformats.org/officeDocument/2006/relationships/hyperlink" Target="consultantplus://offline/ref=3F40F9115D32B04B754D7EA1E1FA00350AC4BA5867CBA17F9F6175D297E7E6507B66D7AC05E5A9A046231978722459A6BD5AD147022B21363A9805FFRDI" TargetMode="External"/><Relationship Id="rId41" Type="http://schemas.openxmlformats.org/officeDocument/2006/relationships/hyperlink" Target="consultantplus://offline/ref=3F40F9115D32B04B754D60ACF7965E3108CDE05260CEAE2CC53E2E8FC0EEEC073C298EEE41EDA9A44E284D2C3D2505E2EF49D1490229282AF3RAI" TargetMode="External"/><Relationship Id="rId54" Type="http://schemas.openxmlformats.org/officeDocument/2006/relationships/hyperlink" Target="consultantplus://offline/ref=3F40F9115D32B04B754D60ACF7965E3108CDE05260CEAE2CC53E2E8FC0EEEC073C298EEE41EDAFA845284D2C3D2505E2EF49D1490229282AF3RAI" TargetMode="External"/><Relationship Id="rId62" Type="http://schemas.openxmlformats.org/officeDocument/2006/relationships/hyperlink" Target="consultantplus://offline/ref=3F40F9115D32B04B754D60ACF7965E3108CDE05260CEAE2CC53E2E8FC0EEEC073C298EEE41EDABA54F284D2C3D2505E2EF49D1490229282AF3RAI" TargetMode="External"/><Relationship Id="rId70" Type="http://schemas.openxmlformats.org/officeDocument/2006/relationships/hyperlink" Target="consultantplus://offline/ref=3F40F9115D32B04B754D60ACF7965E3108CDE05260CEAE2CC53E2E8FC0EEEC073C298EEE41ECAFA84E284D2C3D2505E2EF49D1490229282AF3RAI" TargetMode="External"/><Relationship Id="rId75" Type="http://schemas.openxmlformats.org/officeDocument/2006/relationships/hyperlink" Target="consultantplus://offline/ref=3F40F9115D32B04B754D60ACF7965E3108CDE05260CEAE2CC53E2E8FC0EEEC073C298EEE41EAA0A84E284D2C3D2505E2EF49D1490229282AF3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0F9115D32B04B754D7EA1E1FA00350AC4BA5867CBA17F9F6175D297E7E6507B66D7AC05E5A9A046231978722459A6BD5AD147022B21363A9805FF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3309</Words>
  <Characters>18863</Characters>
  <Application>Microsoft Office Word</Application>
  <DocSecurity>0</DocSecurity>
  <Lines>157</Lines>
  <Paragraphs>44</Paragraphs>
  <ScaleCrop>false</ScaleCrop>
  <Company/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2022-09-07T08:17:00Z</dcterms:created>
  <dcterms:modified xsi:type="dcterms:W3CDTF">2022-09-07T08:17:00Z</dcterms:modified>
</cp:coreProperties>
</file>